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AA40" w14:textId="33B2539C" w:rsidR="00033C4A" w:rsidRPr="00B40F0D" w:rsidRDefault="00450BB9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t>|</w:t>
      </w:r>
      <w:r w:rsidR="00033C4A" w:rsidRPr="00B40F0D">
        <w:rPr>
          <w:rFonts w:asciiTheme="minorHAnsi" w:eastAsia="Times New Roman" w:hAnsi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4A6B5730" wp14:editId="788247E1">
            <wp:extent cx="811530" cy="554990"/>
            <wp:effectExtent l="0" t="0" r="7620" b="0"/>
            <wp:docPr id="1" name="Imagen 1" descr="Background patter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patter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C1C9D" w14:textId="77777777" w:rsidR="00033C4A" w:rsidRPr="00B40F0D" w:rsidRDefault="00033C4A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 w:rsidRPr="00B40F0D">
        <w:rPr>
          <w:rFonts w:asciiTheme="minorHAnsi" w:eastAsia="Times New Roman" w:hAnsiTheme="minorHAnsi" w:cs="Arial"/>
          <w:i/>
          <w:iCs/>
          <w:color w:val="000000"/>
          <w:sz w:val="24"/>
          <w:szCs w:val="24"/>
        </w:rPr>
        <w:t>Maria</w:t>
      </w:r>
      <w:proofErr w:type="spellEnd"/>
      <w:r w:rsidRPr="00B40F0D">
        <w:rPr>
          <w:rFonts w:asciiTheme="minorHAnsi" w:eastAsia="Times New Roman" w:hAnsiTheme="minorHAnsi" w:cs="Arial"/>
          <w:i/>
          <w:iCs/>
          <w:color w:val="000000"/>
          <w:sz w:val="24"/>
          <w:szCs w:val="24"/>
        </w:rPr>
        <w:t xml:space="preserve"> Elisa Quinteros </w:t>
      </w:r>
      <w:proofErr w:type="spellStart"/>
      <w:r w:rsidRPr="00B40F0D">
        <w:rPr>
          <w:rFonts w:asciiTheme="minorHAnsi" w:eastAsia="Times New Roman" w:hAnsiTheme="minorHAnsi" w:cs="Arial"/>
          <w:i/>
          <w:iCs/>
          <w:color w:val="000000"/>
          <w:sz w:val="24"/>
          <w:szCs w:val="24"/>
        </w:rPr>
        <w:t>Caceres</w:t>
      </w:r>
      <w:proofErr w:type="spellEnd"/>
    </w:p>
    <w:p w14:paraId="0B8271D4" w14:textId="77777777" w:rsidR="00033C4A" w:rsidRPr="00B40F0D" w:rsidRDefault="00033C4A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0D"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  <w:t>Presidencia Convención Constitucional</w:t>
      </w:r>
    </w:p>
    <w:p w14:paraId="26558DBD" w14:textId="77777777" w:rsidR="00033C4A" w:rsidRPr="00B40F0D" w:rsidRDefault="00033C4A" w:rsidP="005F4E8A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3B2B4D37" w14:textId="77777777" w:rsidR="00033C4A" w:rsidRPr="00B40F0D" w:rsidRDefault="00033C4A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0D">
        <w:rPr>
          <w:rFonts w:asciiTheme="minorHAnsi" w:eastAsia="Times New Roman" w:hAnsiTheme="minorHAnsi" w:cs="Arial"/>
          <w:i/>
          <w:iCs/>
          <w:color w:val="000000"/>
          <w:sz w:val="24"/>
          <w:szCs w:val="24"/>
        </w:rPr>
        <w:t xml:space="preserve">Gaspar Roberto </w:t>
      </w:r>
      <w:proofErr w:type="spellStart"/>
      <w:r w:rsidRPr="00B40F0D">
        <w:rPr>
          <w:rFonts w:asciiTheme="minorHAnsi" w:eastAsia="Times New Roman" w:hAnsiTheme="minorHAnsi" w:cs="Arial"/>
          <w:i/>
          <w:iCs/>
          <w:color w:val="000000"/>
          <w:sz w:val="24"/>
          <w:szCs w:val="24"/>
        </w:rPr>
        <w:t>Dominguez</w:t>
      </w:r>
      <w:proofErr w:type="spellEnd"/>
      <w:r w:rsidRPr="00B40F0D">
        <w:rPr>
          <w:rFonts w:asciiTheme="minorHAnsi" w:eastAsia="Times New Roman" w:hAnsiTheme="minorHAnsi" w:cs="Arial"/>
          <w:i/>
          <w:iCs/>
          <w:color w:val="000000"/>
          <w:sz w:val="24"/>
          <w:szCs w:val="24"/>
        </w:rPr>
        <w:t xml:space="preserve"> Donoso</w:t>
      </w:r>
    </w:p>
    <w:p w14:paraId="073DFF1A" w14:textId="77777777" w:rsidR="00033C4A" w:rsidRPr="00B40F0D" w:rsidRDefault="00033C4A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0D"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  <w:t>Vicepresidencia Convención Constitucional</w:t>
      </w:r>
    </w:p>
    <w:p w14:paraId="70704895" w14:textId="77777777" w:rsidR="00033C4A" w:rsidRPr="00B40F0D" w:rsidRDefault="00033C4A" w:rsidP="005F4E8A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1E9D688D" w14:textId="364E395D" w:rsidR="00033C4A" w:rsidRPr="00B40F0D" w:rsidRDefault="00033C4A" w:rsidP="005F4E8A">
      <w:pPr>
        <w:spacing w:after="0" w:line="360" w:lineRule="auto"/>
        <w:ind w:left="5103"/>
        <w:jc w:val="right"/>
        <w:rPr>
          <w:rFonts w:asciiTheme="minorHAnsi" w:eastAsia="Times New Roman" w:hAnsiTheme="minorHAnsi" w:cs="Times New Roman"/>
          <w:sz w:val="24"/>
          <w:szCs w:val="24"/>
        </w:rPr>
      </w:pPr>
      <w:r w:rsidRPr="00B40F0D"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  <w:t>SANTIAGO</w:t>
      </w:r>
      <w:r w:rsidRPr="00B40F0D">
        <w:rPr>
          <w:rFonts w:asciiTheme="minorHAnsi" w:eastAsia="Times New Roman" w:hAnsiTheme="minorHAnsi" w:cs="Arial"/>
          <w:color w:val="000000"/>
          <w:sz w:val="24"/>
          <w:szCs w:val="24"/>
        </w:rPr>
        <w:t>, 1</w:t>
      </w:r>
      <w:r w:rsidR="009A0962">
        <w:rPr>
          <w:rFonts w:asciiTheme="minorHAnsi" w:eastAsia="Times New Roman" w:hAnsiTheme="minorHAnsi" w:cs="Arial"/>
          <w:color w:val="000000"/>
          <w:sz w:val="24"/>
          <w:szCs w:val="24"/>
        </w:rPr>
        <w:t>6</w:t>
      </w:r>
      <w:r w:rsidRPr="00B40F0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de enero del 2022</w:t>
      </w:r>
    </w:p>
    <w:p w14:paraId="17C0BCC5" w14:textId="77777777" w:rsidR="00033C4A" w:rsidRPr="00B40F0D" w:rsidRDefault="00033C4A" w:rsidP="005F4E8A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D9C2212" w14:textId="08650A4E" w:rsidR="000202A9" w:rsidRPr="00B40F0D" w:rsidRDefault="00033C4A" w:rsidP="005F4E8A">
      <w:pPr>
        <w:spacing w:after="0" w:line="360" w:lineRule="auto"/>
        <w:jc w:val="both"/>
        <w:rPr>
          <w:rFonts w:asciiTheme="minorHAnsi" w:eastAsia="Cambria" w:hAnsiTheme="minorHAnsi" w:cs="Cambria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Por medio de la presente, nos dirigimos a usted en su calidad de presidenta de la Convención, según lo dispuesto en los artículos 81, 82</w:t>
      </w:r>
      <w:r w:rsidR="000202A9" w:rsidRPr="00B40F0D">
        <w:rPr>
          <w:rFonts w:asciiTheme="minorHAnsi" w:eastAsia="Arial" w:hAnsiTheme="minorHAnsi" w:cs="Arial"/>
          <w:sz w:val="24"/>
          <w:szCs w:val="24"/>
        </w:rPr>
        <w:t xml:space="preserve">, </w:t>
      </w:r>
      <w:r w:rsidRPr="00B40F0D">
        <w:rPr>
          <w:rFonts w:asciiTheme="minorHAnsi" w:eastAsia="Arial" w:hAnsiTheme="minorHAnsi" w:cs="Arial"/>
          <w:sz w:val="24"/>
          <w:szCs w:val="24"/>
        </w:rPr>
        <w:t>83</w:t>
      </w:r>
      <w:r w:rsidR="000202A9" w:rsidRPr="00B40F0D">
        <w:rPr>
          <w:rFonts w:asciiTheme="minorHAnsi" w:eastAsia="Arial" w:hAnsiTheme="minorHAnsi" w:cs="Arial"/>
          <w:sz w:val="24"/>
          <w:szCs w:val="24"/>
        </w:rPr>
        <w:t>, 84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del Reglamento general de la Convención Constitucional, para presentar la siguiente iniciativa de norma constitucional </w:t>
      </w:r>
      <w:r w:rsidR="006501BF" w:rsidRPr="00B40F0D">
        <w:rPr>
          <w:rFonts w:asciiTheme="minorHAnsi" w:eastAsia="Arial" w:hAnsiTheme="minorHAnsi" w:cs="Arial"/>
          <w:sz w:val="24"/>
          <w:szCs w:val="24"/>
        </w:rPr>
        <w:t>q</w:t>
      </w:r>
      <w:r w:rsidR="000202A9" w:rsidRPr="00B40F0D">
        <w:rPr>
          <w:rFonts w:asciiTheme="minorHAnsi" w:eastAsia="Cambria" w:hAnsiTheme="minorHAnsi" w:cs="Cambria"/>
          <w:sz w:val="24"/>
          <w:szCs w:val="24"/>
        </w:rPr>
        <w:t>ue solicitamos sea presentada</w:t>
      </w:r>
      <w:r w:rsidR="006501BF" w:rsidRPr="00B40F0D">
        <w:rPr>
          <w:rFonts w:asciiTheme="minorHAnsi" w:eastAsia="Cambria" w:hAnsiTheme="minorHAnsi" w:cs="Cambria"/>
          <w:sz w:val="24"/>
          <w:szCs w:val="24"/>
        </w:rPr>
        <w:t xml:space="preserve"> los bloques de derecho a la información, derecho a la prensa y derechos a la libertad de expresión</w:t>
      </w:r>
      <w:r w:rsidR="000202A9" w:rsidRPr="00B40F0D">
        <w:rPr>
          <w:rFonts w:asciiTheme="minorHAnsi" w:eastAsia="Cambria" w:hAnsiTheme="minorHAnsi" w:cs="Cambria"/>
          <w:sz w:val="24"/>
          <w:szCs w:val="24"/>
        </w:rPr>
        <w:t xml:space="preserve"> en la Comisión de Derechos Fundamentales</w:t>
      </w:r>
    </w:p>
    <w:p w14:paraId="19D3F631" w14:textId="77777777" w:rsidR="000202A9" w:rsidRPr="00B40F0D" w:rsidRDefault="000202A9" w:rsidP="005F4E8A">
      <w:pPr>
        <w:spacing w:after="0" w:line="360" w:lineRule="auto"/>
        <w:jc w:val="both"/>
        <w:rPr>
          <w:rFonts w:asciiTheme="minorHAnsi" w:eastAsia="Cambria" w:hAnsiTheme="minorHAnsi" w:cs="Cambria"/>
          <w:sz w:val="24"/>
          <w:szCs w:val="24"/>
        </w:rPr>
      </w:pPr>
      <w:r w:rsidRPr="00B40F0D">
        <w:rPr>
          <w:rFonts w:asciiTheme="minorHAnsi" w:eastAsia="Cambria" w:hAnsiTheme="minorHAnsi" w:cs="Cambria"/>
          <w:sz w:val="24"/>
          <w:szCs w:val="24"/>
        </w:rPr>
        <w:t>Sin otro particular, les saludamos atte.,</w:t>
      </w:r>
    </w:p>
    <w:p w14:paraId="53E95277" w14:textId="77777777" w:rsidR="008713B9" w:rsidRPr="00B40F0D" w:rsidRDefault="008713B9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00000003" w14:textId="27AF3C98" w:rsidR="006B1391" w:rsidRPr="00B40F0D" w:rsidRDefault="008713B9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b/>
          <w:bCs/>
          <w:sz w:val="24"/>
          <w:szCs w:val="24"/>
        </w:rPr>
        <w:t>Fundament</w:t>
      </w:r>
      <w:r w:rsidR="00C71242" w:rsidRPr="00B40F0D">
        <w:rPr>
          <w:rFonts w:asciiTheme="minorHAnsi" w:eastAsia="Times New Roman" w:hAnsiTheme="minorHAnsi" w:cs="Times New Roman"/>
          <w:b/>
          <w:bCs/>
          <w:sz w:val="24"/>
          <w:szCs w:val="24"/>
        </w:rPr>
        <w:t>ación</w:t>
      </w:r>
    </w:p>
    <w:p w14:paraId="028389B8" w14:textId="77777777" w:rsidR="001F0FAB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El despertar de los pueblos ha venido de la mano de una valoración creciente del rol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ejercido por los medios comunitarios y el periodismo crítico en los momentos de crisis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institucional con posterioridad al 18 de </w:t>
      </w:r>
      <w:r w:rsidR="008713B9" w:rsidRPr="00B40F0D">
        <w:rPr>
          <w:rFonts w:asciiTheme="minorHAnsi" w:eastAsia="Arial" w:hAnsiTheme="minorHAnsi" w:cs="Arial"/>
          <w:sz w:val="24"/>
          <w:szCs w:val="24"/>
        </w:rPr>
        <w:t>o</w:t>
      </w:r>
      <w:r w:rsidRPr="00B40F0D">
        <w:rPr>
          <w:rFonts w:asciiTheme="minorHAnsi" w:eastAsia="Arial" w:hAnsiTheme="minorHAnsi" w:cs="Arial"/>
          <w:sz w:val="24"/>
          <w:szCs w:val="24"/>
        </w:rPr>
        <w:t>ctubre y durante la pandemia. Frente al silencio de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los medios tradicionales en materias tan sensibles como la sistemática violación de DDHH,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han sido estos los que han levantado la voz.</w:t>
      </w:r>
    </w:p>
    <w:p w14:paraId="00000004" w14:textId="411FD147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La concentración de la propiedad de los medios en Chile es un elemento que atenta contra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la pluralidad informativa, indispensable para el fortalecimiento de la opinión pública. Tras el retorno a la democracia las elites gobernantes optaron por una “no política en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comunicaciones” orientada a restringir la acción estatal, acentuando así a un mercado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privado altamente concentrado que acapara buena parte del avisaje estatal. (Cadena de El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Mercurio, La Tercera y algunas radios).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En Chile, no se regula ni garantiza el derecho a </w:t>
      </w:r>
      <w:r w:rsidRPr="00B40F0D">
        <w:rPr>
          <w:rFonts w:asciiTheme="minorHAnsi" w:eastAsia="Arial" w:hAnsiTheme="minorHAnsi" w:cs="Arial"/>
          <w:sz w:val="24"/>
          <w:szCs w:val="24"/>
        </w:rPr>
        <w:lastRenderedPageBreak/>
        <w:t>la comunicación y el derecho a la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información como un derecho humano. A su vez, los medios de comunicación comunitarios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no son resguardados por el Estado y como consecuencia, no existe una política pública de</w:t>
      </w:r>
      <w:r w:rsidR="007B759A" w:rsidRPr="00B40F0D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promoción orientada a garantizar la “factibilidad técnica” (apoyo financiero y técnico) para el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desarrollo de su función.</w:t>
      </w:r>
    </w:p>
    <w:p w14:paraId="6B3BFCB1" w14:textId="775A0B75" w:rsidR="008713B9" w:rsidRPr="00B40F0D" w:rsidRDefault="008713B9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500F7295" w14:textId="319B3680" w:rsidR="0087654A" w:rsidRPr="00B40F0D" w:rsidRDefault="008713B9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Es especialmente a través de la promoción de los medios comunitarios y estatales donde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como sociedad podremos garantizar el derecho a la comunicación y a la información,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indispensables para la construcción de una opinión pública informada y reflexiva.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Los medios de comunicación comunitarios juegan un rol estratégico en el fortalecimiento de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las democracias. Al no estar ligados a ningún poder político o económico, aportan en la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pluralidad informativa que se requiere para construir una opinión pública 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educada</w:t>
      </w:r>
      <w:r w:rsidRPr="00B40F0D">
        <w:rPr>
          <w:rFonts w:asciiTheme="minorHAnsi" w:eastAsia="Arial" w:hAnsiTheme="minorHAnsi" w:cs="Arial"/>
          <w:sz w:val="24"/>
          <w:szCs w:val="24"/>
        </w:rPr>
        <w:t>. Las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comunidades necesitan medios de comunicación para buscar soluciones conjuntas, para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relatar sus vivencias, contar sus historias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, para recuperar y preservar la memoria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y relevar sus logros 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 xml:space="preserve">ambientales,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deportivos y 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culturales,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en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definitiva, para </w:t>
      </w:r>
      <w:r w:rsidR="00252BCD" w:rsidRPr="00B40F0D">
        <w:rPr>
          <w:rFonts w:asciiTheme="minorHAnsi" w:eastAsia="Arial" w:hAnsiTheme="minorHAnsi" w:cs="Arial"/>
          <w:sz w:val="24"/>
          <w:szCs w:val="24"/>
        </w:rPr>
        <w:t>rearticular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el tejido social.</w:t>
      </w:r>
    </w:p>
    <w:p w14:paraId="7F623915" w14:textId="77777777" w:rsidR="0087654A" w:rsidRPr="00B40F0D" w:rsidRDefault="0087654A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0A352E74" w14:textId="395C5C58" w:rsidR="0087654A" w:rsidRPr="00B40F0D" w:rsidRDefault="008713B9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Los medios comunitarios realizan una labor social contribuyendo a dinamizar y empoderar 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las comunidades diversas (feministas, </w:t>
      </w:r>
      <w:proofErr w:type="gramStart"/>
      <w:r w:rsidRPr="00B40F0D">
        <w:rPr>
          <w:rFonts w:asciiTheme="minorHAnsi" w:eastAsia="Arial" w:hAnsiTheme="minorHAnsi" w:cs="Arial"/>
          <w:sz w:val="24"/>
          <w:szCs w:val="24"/>
        </w:rPr>
        <w:t>socio-ambientales</w:t>
      </w:r>
      <w:proofErr w:type="gramEnd"/>
      <w:r w:rsidRPr="00B40F0D">
        <w:rPr>
          <w:rFonts w:asciiTheme="minorHAnsi" w:eastAsia="Arial" w:hAnsiTheme="minorHAnsi" w:cs="Arial"/>
          <w:sz w:val="24"/>
          <w:szCs w:val="24"/>
        </w:rPr>
        <w:t>, plurinacionales, regionales,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comunales, barriales), pero por fuera de cualquier forma de proselitismo partidista o de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intereses económicos de grandes conglomerados.</w:t>
      </w:r>
      <w:r w:rsidR="0072353D" w:rsidRPr="00B40F0D">
        <w:rPr>
          <w:rFonts w:asciiTheme="minorHAnsi" w:eastAsia="Arial" w:hAnsiTheme="minorHAnsi" w:cs="Arial"/>
          <w:sz w:val="24"/>
          <w:szCs w:val="24"/>
        </w:rPr>
        <w:t xml:space="preserve"> Muchos son los </w:t>
      </w:r>
      <w:r w:rsidR="004917AD" w:rsidRPr="00B40F0D">
        <w:rPr>
          <w:rFonts w:asciiTheme="minorHAnsi" w:eastAsia="Arial" w:hAnsiTheme="minorHAnsi" w:cs="Arial"/>
          <w:sz w:val="24"/>
          <w:szCs w:val="24"/>
        </w:rPr>
        <w:t>trabajadores de las comunicaciones que han aportado en el desarrollo de las comunicaciones locales y nacionales</w:t>
      </w:r>
      <w:r w:rsidR="00F07896">
        <w:rPr>
          <w:rFonts w:asciiTheme="minorHAnsi" w:eastAsia="Arial" w:hAnsiTheme="minorHAnsi" w:cs="Arial"/>
          <w:sz w:val="24"/>
          <w:szCs w:val="24"/>
        </w:rPr>
        <w:t>. E</w:t>
      </w:r>
      <w:r w:rsidR="004917AD" w:rsidRPr="00B40F0D">
        <w:rPr>
          <w:rFonts w:asciiTheme="minorHAnsi" w:eastAsia="Arial" w:hAnsiTheme="minorHAnsi" w:cs="Arial"/>
          <w:sz w:val="24"/>
          <w:szCs w:val="24"/>
        </w:rPr>
        <w:t>n ello se destaca la labor realizada por Luis</w:t>
      </w:r>
      <w:r w:rsidR="00F07896">
        <w:rPr>
          <w:rFonts w:asciiTheme="minorHAnsi" w:eastAsia="Arial" w:hAnsiTheme="minorHAnsi" w:cs="Arial"/>
          <w:sz w:val="24"/>
          <w:szCs w:val="24"/>
        </w:rPr>
        <w:t xml:space="preserve"> Polo</w:t>
      </w:r>
      <w:r w:rsidR="004917AD" w:rsidRPr="00B40F0D">
        <w:rPr>
          <w:rFonts w:asciiTheme="minorHAnsi" w:eastAsia="Arial" w:hAnsiTheme="minorHAnsi" w:cs="Arial"/>
          <w:sz w:val="24"/>
          <w:szCs w:val="24"/>
        </w:rPr>
        <w:t xml:space="preserve"> Lillo</w:t>
      </w:r>
      <w:r w:rsidR="00F07896">
        <w:rPr>
          <w:rFonts w:asciiTheme="minorHAnsi" w:eastAsia="Arial" w:hAnsiTheme="minorHAnsi" w:cs="Arial"/>
          <w:sz w:val="24"/>
          <w:szCs w:val="24"/>
        </w:rPr>
        <w:t>,</w:t>
      </w:r>
      <w:r w:rsidR="004917AD" w:rsidRPr="00B40F0D">
        <w:rPr>
          <w:rFonts w:asciiTheme="minorHAnsi" w:eastAsia="Arial" w:hAnsiTheme="minorHAnsi" w:cs="Arial"/>
          <w:sz w:val="24"/>
          <w:szCs w:val="24"/>
        </w:rPr>
        <w:t xml:space="preserve"> quien dedicó su vida al fortalecimiento de los lazos comunitarios a través de los medios de comunicación popular. </w:t>
      </w:r>
    </w:p>
    <w:p w14:paraId="609D4F61" w14:textId="209E34F1" w:rsidR="008713B9" w:rsidRPr="00B40F0D" w:rsidRDefault="008713B9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="0087654A" w:rsidRPr="00B40F0D">
        <w:rPr>
          <w:rFonts w:asciiTheme="minorHAnsi" w:eastAsia="Arial" w:hAnsiTheme="minorHAnsi" w:cs="Arial"/>
          <w:sz w:val="24"/>
          <w:szCs w:val="24"/>
        </w:rPr>
        <w:t>Es fundamental f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ormar un 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espacio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comunitario de las comunicaciones que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d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e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empleo digno y estable a los trabajadores de las comunicaciones, activ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e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la economía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local, apoy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e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la extensión de las universidades públicas y difusión de la comunidad científica.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87654A" w:rsidRPr="00B40F0D">
        <w:rPr>
          <w:rFonts w:asciiTheme="minorHAnsi" w:eastAsia="Arial" w:hAnsiTheme="minorHAnsi" w:cs="Arial"/>
          <w:sz w:val="24"/>
          <w:szCs w:val="24"/>
        </w:rPr>
        <w:t>En este sentido, se requiere fomentar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 la cultura y las artes, dando difusión a los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contenidos allí generados. En la medida que el aporte basal a los medios se encuentra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condicionado a “objetivos de desarrollo nacional” como los ya mencionados.</w:t>
      </w:r>
    </w:p>
    <w:p w14:paraId="091532C1" w14:textId="352EE76D" w:rsidR="008713B9" w:rsidRPr="00B40F0D" w:rsidRDefault="008713B9" w:rsidP="005F4E8A">
      <w:pPr>
        <w:spacing w:after="0" w:line="360" w:lineRule="auto"/>
        <w:rPr>
          <w:rFonts w:asciiTheme="minorHAnsi" w:eastAsia="Arial" w:hAnsiTheme="minorHAnsi" w:cs="Arial"/>
          <w:sz w:val="24"/>
          <w:szCs w:val="24"/>
        </w:rPr>
      </w:pPr>
    </w:p>
    <w:p w14:paraId="12C5A41B" w14:textId="77777777" w:rsidR="005E6D2A" w:rsidRPr="00B40F0D" w:rsidRDefault="005E6D2A" w:rsidP="005F4E8A">
      <w:pPr>
        <w:spacing w:after="0" w:line="360" w:lineRule="auto"/>
        <w:rPr>
          <w:rFonts w:asciiTheme="minorHAnsi" w:eastAsia="Arial" w:hAnsiTheme="minorHAnsi" w:cs="Arial"/>
          <w:b/>
          <w:bCs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bCs/>
          <w:sz w:val="24"/>
          <w:szCs w:val="24"/>
        </w:rPr>
        <w:br w:type="page"/>
      </w:r>
    </w:p>
    <w:p w14:paraId="75E24E0C" w14:textId="46890D07" w:rsidR="008713B9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bCs/>
          <w:sz w:val="24"/>
          <w:szCs w:val="24"/>
        </w:rPr>
        <w:lastRenderedPageBreak/>
        <w:t xml:space="preserve">Propuesta de </w:t>
      </w:r>
      <w:r w:rsidR="008713B9" w:rsidRPr="00B40F0D">
        <w:rPr>
          <w:rFonts w:asciiTheme="minorHAnsi" w:eastAsia="Arial" w:hAnsiTheme="minorHAnsi" w:cs="Arial"/>
          <w:b/>
          <w:bCs/>
          <w:sz w:val="24"/>
          <w:szCs w:val="24"/>
        </w:rPr>
        <w:t xml:space="preserve">Articulado </w:t>
      </w:r>
    </w:p>
    <w:p w14:paraId="2C8E2FA5" w14:textId="65C6A6DA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</w:p>
    <w:p w14:paraId="10FBF834" w14:textId="26E4FC05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bCs/>
          <w:sz w:val="24"/>
          <w:szCs w:val="24"/>
        </w:rPr>
        <w:t xml:space="preserve">Artículo </w:t>
      </w:r>
      <w:proofErr w:type="spellStart"/>
      <w:r w:rsidRPr="00B40F0D">
        <w:rPr>
          <w:rFonts w:asciiTheme="minorHAnsi" w:eastAsia="Arial" w:hAnsiTheme="minorHAnsi" w:cs="Arial"/>
          <w:b/>
          <w:bCs/>
          <w:sz w:val="24"/>
          <w:szCs w:val="24"/>
        </w:rPr>
        <w:t>xx</w:t>
      </w:r>
      <w:proofErr w:type="spellEnd"/>
    </w:p>
    <w:p w14:paraId="3DFBC21D" w14:textId="7E529BF6" w:rsidR="008713B9" w:rsidRPr="00B40F0D" w:rsidRDefault="008713B9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39C73629" w14:textId="77777777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El Estado garantizará el derecho universal a la comunicación y a la información como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derecho humano;</w:t>
      </w:r>
    </w:p>
    <w:p w14:paraId="2A758CB3" w14:textId="6AE8F495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El Estado garantizará el derecho a comunicar, buscar y recibir informaciones, ideas y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opiniones a través de cualquier soporte</w:t>
      </w:r>
      <w:r w:rsidR="0072353D" w:rsidRPr="00B40F0D">
        <w:rPr>
          <w:rFonts w:asciiTheme="minorHAnsi" w:eastAsia="Arial" w:hAnsiTheme="minorHAnsi" w:cs="Arial"/>
          <w:sz w:val="24"/>
          <w:szCs w:val="24"/>
        </w:rPr>
        <w:t>.</w:t>
      </w:r>
    </w:p>
    <w:p w14:paraId="2777BF2A" w14:textId="044937AB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33642E45" w14:textId="16930408" w:rsidR="008713B9" w:rsidRPr="00B40F0D" w:rsidRDefault="008713B9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El Estado asegurará el derecho a la información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(diversidad de fuentes de información) y a la comunicación (diversidad de medios) para toda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la población. Donde el espectro electromagnético (radioeléctrico y digital) se encuentre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democratizado bajo una distribución de </w:t>
      </w:r>
      <w:r w:rsidR="003C4E64" w:rsidRPr="00B40F0D">
        <w:rPr>
          <w:rFonts w:asciiTheme="minorHAnsi" w:eastAsia="Arial" w:hAnsiTheme="minorHAnsi" w:cs="Arial"/>
          <w:sz w:val="24"/>
          <w:szCs w:val="24"/>
        </w:rPr>
        <w:t xml:space="preserve">tres </w:t>
      </w:r>
      <w:r w:rsidRPr="00B40F0D">
        <w:rPr>
          <w:rFonts w:asciiTheme="minorHAnsi" w:eastAsia="Arial" w:hAnsiTheme="minorHAnsi" w:cs="Arial"/>
          <w:sz w:val="24"/>
          <w:szCs w:val="24"/>
        </w:rPr>
        <w:t>tercios entre los siguientes actores: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254FDCF1" w14:textId="77777777" w:rsidR="008713B9" w:rsidRPr="00B40F0D" w:rsidRDefault="008713B9" w:rsidP="005F4E8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03DBD528" w14:textId="117F3BCD" w:rsidR="008713B9" w:rsidRPr="00B40F0D" w:rsidRDefault="008713B9" w:rsidP="005F4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Medios Comunitarios: </w:t>
      </w:r>
      <w:r w:rsidR="003C4E64"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Un tercio del 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del espectro,</w:t>
      </w:r>
      <w:r w:rsidR="003C4E64"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 bandas, concesiones y de los fondos estatales</w:t>
      </w:r>
      <w:r w:rsidR="003C4E64"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="003C4E64" w:rsidRPr="00B40F0D">
        <w:rPr>
          <w:rFonts w:asciiTheme="minorHAnsi" w:eastAsia="Arial" w:hAnsiTheme="minorHAnsi" w:cs="Arial"/>
          <w:color w:val="000000"/>
          <w:sz w:val="24"/>
          <w:szCs w:val="24"/>
        </w:rPr>
        <w:t>para inversión en la materia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 conformado por organizaciones de la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br/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sociedad civil tales como sindicatos, juntas de vecinos, organizaciones funcionales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territoriales, cooperativas y medios de comunicación. Son organizaciones sin fines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de lucro orientadas a ejercer el derecho a la comunicación desde las comunidades.</w:t>
      </w:r>
    </w:p>
    <w:p w14:paraId="238D1D93" w14:textId="77777777" w:rsidR="008713B9" w:rsidRPr="00B40F0D" w:rsidRDefault="008713B9" w:rsidP="005F4E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77B45329" w14:textId="15D5497A" w:rsidR="008713B9" w:rsidRPr="00B40F0D" w:rsidRDefault="008713B9" w:rsidP="005F4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Medios Privados: </w:t>
      </w:r>
      <w:r w:rsidR="003C4E64" w:rsidRPr="00B40F0D">
        <w:rPr>
          <w:rFonts w:asciiTheme="minorHAnsi" w:eastAsia="Arial" w:hAnsiTheme="minorHAnsi" w:cs="Arial"/>
          <w:color w:val="000000"/>
          <w:sz w:val="24"/>
          <w:szCs w:val="24"/>
        </w:rPr>
        <w:t>Un tercio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 del espectro, bandas, concesiones y de los fondos estatales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para inversión en la materia en manos de actores privados, sociedades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periodísticas, empresas de comunicaciones, telecomunicaciones, tecnológicas y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materias asociadas.</w:t>
      </w:r>
    </w:p>
    <w:p w14:paraId="5BE74607" w14:textId="77777777" w:rsidR="008713B9" w:rsidRPr="00B40F0D" w:rsidRDefault="008713B9" w:rsidP="005F4E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p w14:paraId="05BABD55" w14:textId="59494F93" w:rsidR="0008066D" w:rsidRPr="00B40F0D" w:rsidRDefault="008713B9" w:rsidP="005F4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Medios Estatales: </w:t>
      </w:r>
      <w:r w:rsidR="003C4E64" w:rsidRPr="00B40F0D">
        <w:rPr>
          <w:rFonts w:asciiTheme="minorHAnsi" w:eastAsia="Arial" w:hAnsiTheme="minorHAnsi" w:cs="Arial"/>
          <w:color w:val="000000"/>
          <w:sz w:val="24"/>
          <w:szCs w:val="24"/>
        </w:rPr>
        <w:t>Un tercio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 xml:space="preserve"> de los espectros, bandas, concesiones y de los fondos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br/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estatales para inversión en la materia en manos de El Estado, para la construcción</w:t>
      </w:r>
      <w:r w:rsidRPr="00B40F0D">
        <w:rPr>
          <w:rFonts w:asciiTheme="minorHAnsi" w:eastAsia="Times New Roman" w:hAnsiTheme="minorHAnsi" w:cs="Times New Roman"/>
          <w:color w:val="000000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color w:val="000000"/>
          <w:sz w:val="24"/>
          <w:szCs w:val="24"/>
        </w:rPr>
        <w:t>de medios públicos de alto estándar democrático.</w:t>
      </w:r>
    </w:p>
    <w:p w14:paraId="67FE263D" w14:textId="77777777" w:rsidR="0008066D" w:rsidRPr="00B40F0D" w:rsidRDefault="0008066D" w:rsidP="005F4E8A">
      <w:pPr>
        <w:pStyle w:val="Prrafodelista"/>
        <w:spacing w:after="0" w:line="36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01C15A30" w14:textId="77777777" w:rsidR="00F16B00" w:rsidRPr="00B40F0D" w:rsidRDefault="00F16B00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bookmarkStart w:id="0" w:name="_gjdgxs" w:colFirst="0" w:colLast="0"/>
      <w:bookmarkEnd w:id="0"/>
    </w:p>
    <w:p w14:paraId="2B4CC324" w14:textId="77777777" w:rsidR="00F16B00" w:rsidRPr="00B40F0D" w:rsidRDefault="00F16B00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4EDA5825" w14:textId="77777777" w:rsidR="005F4E8A" w:rsidRDefault="005F4E8A">
      <w:pPr>
        <w:rPr>
          <w:rFonts w:asciiTheme="minorHAnsi" w:eastAsia="Arial" w:hAnsiTheme="minorHAnsi" w:cs="Arial"/>
          <w:b/>
          <w:sz w:val="24"/>
          <w:szCs w:val="24"/>
        </w:rPr>
      </w:pPr>
      <w:r>
        <w:rPr>
          <w:rFonts w:asciiTheme="minorHAnsi" w:eastAsia="Arial" w:hAnsiTheme="minorHAnsi" w:cs="Arial"/>
          <w:b/>
          <w:sz w:val="24"/>
          <w:szCs w:val="24"/>
        </w:rPr>
        <w:br w:type="page"/>
      </w:r>
    </w:p>
    <w:p w14:paraId="5863BBB2" w14:textId="5B68643D" w:rsidR="007108D6" w:rsidRPr="00B40F0D" w:rsidRDefault="007108D6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Articulo </w:t>
      </w:r>
      <w:proofErr w:type="spellStart"/>
      <w:r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6DD94CC5" w14:textId="77777777" w:rsidR="004E7DA6" w:rsidRPr="00B40F0D" w:rsidRDefault="004E7DA6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2BB55E08" w14:textId="0C801860" w:rsidR="003C4E64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Todas las personas tanto individual como colectivamente tienen derecho a la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comunicación y el acceso a información plural, así como el derecho al uso libre de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las tecnologías de información y comunicación.</w:t>
      </w:r>
    </w:p>
    <w:p w14:paraId="2933D326" w14:textId="77777777" w:rsidR="003C4E64" w:rsidRPr="00B40F0D" w:rsidRDefault="003C4E64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3D381FC3" w14:textId="3ABC8C44" w:rsidR="006750FC" w:rsidRPr="00B40F0D" w:rsidRDefault="003C4E64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Ninguna persona podrá ser sancionada con penas corporales o criminales por operar o explotar servicios o instalaciones de telecomunicaciones de libre recepción o de radiodifusión, a pesar de no contar con licencias, concesiones, autorizaciones o permisos emitidos por la autoridad correspondiente.</w:t>
      </w:r>
    </w:p>
    <w:p w14:paraId="142B1FCA" w14:textId="77777777" w:rsidR="007108D6" w:rsidRPr="00B40F0D" w:rsidRDefault="007108D6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608A36E6" w14:textId="0819C9D7" w:rsidR="007108D6" w:rsidRPr="00B40F0D" w:rsidRDefault="007108D6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6060F9B9" w14:textId="77777777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00000027" w14:textId="4AC0042F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Todas las personas tienen derecho a formar medios comunitarios y privados. El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acceso al espectro radioeléctrico y digital será distribuido bajo la regla de tres tercios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en igualdad de condiciones entre los medios privados, estatales y comunitarios.</w:t>
      </w:r>
    </w:p>
    <w:p w14:paraId="436D5CCF" w14:textId="77777777" w:rsidR="007B759A" w:rsidRPr="00B40F0D" w:rsidRDefault="007B759A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5037A0EA" w14:textId="77777777" w:rsidR="007B759A" w:rsidRPr="00B40F0D" w:rsidRDefault="007B759A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003BAA06" w14:textId="77777777" w:rsidR="007B759A" w:rsidRPr="00B40F0D" w:rsidRDefault="007B759A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21FDEE28" w14:textId="65ED3BF1" w:rsidR="007B759A" w:rsidRPr="00B40F0D" w:rsidRDefault="007B759A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 xml:space="preserve">El Estado promoverá la formación de nuevos medios comunitarios, con especial atención en comunidades y grupos </w:t>
      </w:r>
      <w:r w:rsidR="006750FC" w:rsidRPr="00B40F0D">
        <w:rPr>
          <w:rFonts w:asciiTheme="minorHAnsi" w:eastAsia="Arial" w:hAnsiTheme="minorHAnsi" w:cs="Arial"/>
          <w:sz w:val="24"/>
          <w:szCs w:val="24"/>
        </w:rPr>
        <w:t>históricamente excluidos</w:t>
      </w:r>
      <w:r w:rsidR="00685E9C" w:rsidRPr="00B40F0D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(pueblos indígenas, mujeres,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migrantes, otros).</w:t>
      </w:r>
    </w:p>
    <w:p w14:paraId="25A6411C" w14:textId="77777777" w:rsidR="007B759A" w:rsidRPr="00B40F0D" w:rsidRDefault="007B759A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El Estado regulará las obligaciones de los medios comunitarios que reciban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financiamiento estatal mediante la difusión de las artes y las culturas, en alianza con instituciones, comunidades realizadoras, por medio de la difusión de las ciencias, en alianza con universidades públicas y la comunidad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científica nacional y por medio de la difusión de experiencias de economía a escala humana. Tanto locales, alternativas, ambientales, feministas u otras</w:t>
      </w:r>
    </w:p>
    <w:p w14:paraId="761C9B12" w14:textId="77777777" w:rsidR="007B759A" w:rsidRPr="00B40F0D" w:rsidRDefault="007B759A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0A4F5F0B" w14:textId="6DA01B66" w:rsidR="007B759A" w:rsidRPr="00B40F0D" w:rsidRDefault="007B759A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 xml:space="preserve">El Estado garantizará la “factibilidad técnica” de los medios comunitarios a través de Financiamiento estatal y directo, mediante el acceso pleno a internet y a las tecnologías de la información, por medio del fomento a través de los gobiernos locales y de las </w:t>
      </w:r>
      <w:r w:rsidRPr="00B40F0D">
        <w:rPr>
          <w:rFonts w:asciiTheme="minorHAnsi" w:eastAsia="Arial" w:hAnsiTheme="minorHAnsi" w:cs="Arial"/>
          <w:sz w:val="24"/>
          <w:szCs w:val="24"/>
        </w:rPr>
        <w:lastRenderedPageBreak/>
        <w:t>universidades públicas de líneas de formación y capacitaciones en el ámbito de las comunicaciones.</w:t>
      </w:r>
    </w:p>
    <w:p w14:paraId="7017B632" w14:textId="77777777" w:rsidR="007108D6" w:rsidRPr="00B40F0D" w:rsidRDefault="007108D6" w:rsidP="005F4E8A">
      <w:pPr>
        <w:spacing w:after="0" w:line="360" w:lineRule="auto"/>
        <w:ind w:left="720" w:hanging="720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5A442C63" w14:textId="2B156D88" w:rsidR="007108D6" w:rsidRPr="00B40F0D" w:rsidRDefault="007108D6" w:rsidP="005F4E8A">
      <w:pPr>
        <w:spacing w:after="0" w:line="360" w:lineRule="auto"/>
        <w:ind w:left="720" w:hanging="720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74CF0831" w14:textId="77777777" w:rsidR="00450BB9" w:rsidRPr="00B40F0D" w:rsidRDefault="00450BB9" w:rsidP="005F4E8A">
      <w:pPr>
        <w:spacing w:after="0" w:line="360" w:lineRule="auto"/>
        <w:ind w:left="720" w:hanging="7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00000028" w14:textId="67118109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El espectro electromagnético es un bien estratégico de uso público. Su uso estará</w:t>
      </w:r>
      <w:r w:rsidR="00EE0DD5"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sujeto al cumplimiento de los derechos y deberes establecidos por la Constitución. </w:t>
      </w:r>
    </w:p>
    <w:p w14:paraId="06A7A8E5" w14:textId="76B9C499" w:rsidR="007108D6" w:rsidRPr="00B40F0D" w:rsidRDefault="007108D6" w:rsidP="005F4E8A">
      <w:pPr>
        <w:spacing w:after="0" w:line="360" w:lineRule="auto"/>
        <w:rPr>
          <w:rFonts w:asciiTheme="minorHAnsi" w:eastAsia="Arial" w:hAnsiTheme="minorHAnsi" w:cs="Arial"/>
          <w:b/>
          <w:sz w:val="24"/>
          <w:szCs w:val="24"/>
        </w:rPr>
      </w:pPr>
    </w:p>
    <w:p w14:paraId="4B571F5F" w14:textId="2516BCCE" w:rsidR="007108D6" w:rsidRPr="00B40F0D" w:rsidRDefault="007108D6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7455F456" w14:textId="77777777" w:rsidR="005E6D2A" w:rsidRPr="00B40F0D" w:rsidRDefault="005E6D2A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00000029" w14:textId="794476DE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El Estado garantizará la no concentración de los medios de comunicación, evitando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así el monopolio u oligopolio, de manera directa o indirecta, en el uso del espectro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electromagnético, fomentando la participación plural de diversos actores en el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B40F0D">
        <w:rPr>
          <w:rFonts w:asciiTheme="minorHAnsi" w:eastAsia="Arial" w:hAnsiTheme="minorHAnsi" w:cs="Arial"/>
          <w:sz w:val="24"/>
          <w:szCs w:val="24"/>
        </w:rPr>
        <w:t>escenario medial desde la comuna, a la región y el país.</w:t>
      </w:r>
    </w:p>
    <w:p w14:paraId="3853A134" w14:textId="77777777" w:rsidR="007108D6" w:rsidRPr="00B40F0D" w:rsidRDefault="007108D6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4E3E90A3" w14:textId="208B8EB7" w:rsidR="007108D6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 xml:space="preserve"> </w:t>
      </w:r>
      <w:r w:rsidR="007108D6"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="007108D6"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24EEC58B" w14:textId="77777777" w:rsidR="005E6D2A" w:rsidRPr="00B40F0D" w:rsidRDefault="005E6D2A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0000002B" w14:textId="5C2B03FA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Es incompatible la propiedad sobre medios de comunicaciones y bancos, también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sobre empresas y sectores económicos considerados por la Constitución como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estratégicos.</w:t>
      </w:r>
    </w:p>
    <w:p w14:paraId="27DDBAAB" w14:textId="1E883163" w:rsidR="00F16B00" w:rsidRPr="00B40F0D" w:rsidRDefault="00F16B00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1F50C2EF" w14:textId="4985AA29" w:rsidR="007108D6" w:rsidRPr="00B40F0D" w:rsidRDefault="007108D6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3598547F" w14:textId="77777777" w:rsidR="005E6D2A" w:rsidRPr="00B40F0D" w:rsidRDefault="005E6D2A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562792E5" w14:textId="0197C407" w:rsidR="00051E64" w:rsidRPr="00B40F0D" w:rsidRDefault="00051E64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 xml:space="preserve">Estará prohibida </w:t>
      </w:r>
      <w:r w:rsidR="003A57E3" w:rsidRPr="00B40F0D">
        <w:rPr>
          <w:rFonts w:asciiTheme="minorHAnsi" w:eastAsia="Arial" w:hAnsiTheme="minorHAnsi" w:cs="Arial"/>
          <w:sz w:val="24"/>
          <w:szCs w:val="24"/>
        </w:rPr>
        <w:t xml:space="preserve">la difusión en medios de comunicación de discursos que generen 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instigación, apología o propaganda en favor de la guerra, del genocidio, del ecocidio, de la incitación al odio, a la violencia, a la discriminación por motivo nacional, racial, étnica, de sexo, identidad y/o expresión de género, religiosa, política, económica, o de cualquier otra naturaleza, contra cualquier persona o grupo de personas. </w:t>
      </w:r>
    </w:p>
    <w:p w14:paraId="473B442A" w14:textId="77777777" w:rsidR="00051E64" w:rsidRPr="00B40F0D" w:rsidRDefault="00051E64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054C945E" w14:textId="4996DD3D" w:rsidR="00051E64" w:rsidRPr="00B40F0D" w:rsidRDefault="00051E64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 xml:space="preserve">Se prohíbe </w:t>
      </w:r>
      <w:r w:rsidR="003A57E3" w:rsidRPr="00B40F0D">
        <w:rPr>
          <w:rFonts w:asciiTheme="minorHAnsi" w:eastAsia="Arial" w:hAnsiTheme="minorHAnsi" w:cs="Arial"/>
          <w:sz w:val="24"/>
          <w:szCs w:val="24"/>
        </w:rPr>
        <w:t>la difusión en medios de comunicación de discursos a favor de</w:t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l negacionismo y </w:t>
      </w:r>
      <w:r w:rsidR="003A57E3" w:rsidRPr="00B40F0D">
        <w:rPr>
          <w:rFonts w:asciiTheme="minorHAnsi" w:eastAsia="Arial" w:hAnsiTheme="minorHAnsi" w:cs="Arial"/>
          <w:sz w:val="24"/>
          <w:szCs w:val="24"/>
        </w:rPr>
        <w:t>d</w:t>
      </w:r>
      <w:r w:rsidRPr="00B40F0D">
        <w:rPr>
          <w:rFonts w:asciiTheme="minorHAnsi" w:eastAsia="Arial" w:hAnsiTheme="minorHAnsi" w:cs="Arial"/>
          <w:sz w:val="24"/>
          <w:szCs w:val="24"/>
        </w:rPr>
        <w:t>el negacionismo climático.</w:t>
      </w:r>
    </w:p>
    <w:p w14:paraId="036B4D81" w14:textId="004EE873" w:rsidR="005E6D2A" w:rsidRPr="00B40F0D" w:rsidRDefault="005E6D2A" w:rsidP="005F4E8A">
      <w:pPr>
        <w:spacing w:after="0" w:line="360" w:lineRule="auto"/>
        <w:rPr>
          <w:rFonts w:asciiTheme="minorHAnsi" w:eastAsia="Arial" w:hAnsiTheme="minorHAnsi" w:cs="Arial"/>
          <w:b/>
          <w:sz w:val="24"/>
          <w:szCs w:val="24"/>
        </w:rPr>
      </w:pPr>
    </w:p>
    <w:p w14:paraId="6E32F49F" w14:textId="77777777" w:rsidR="005F4E8A" w:rsidRDefault="005F4E8A" w:rsidP="005F4E8A">
      <w:pPr>
        <w:spacing w:after="0" w:line="360" w:lineRule="auto"/>
        <w:rPr>
          <w:rFonts w:asciiTheme="minorHAnsi" w:eastAsia="Arial" w:hAnsiTheme="minorHAnsi" w:cs="Arial"/>
          <w:b/>
          <w:sz w:val="24"/>
          <w:szCs w:val="24"/>
        </w:rPr>
      </w:pPr>
      <w:r>
        <w:rPr>
          <w:rFonts w:asciiTheme="minorHAnsi" w:eastAsia="Arial" w:hAnsiTheme="minorHAnsi" w:cs="Arial"/>
          <w:b/>
          <w:sz w:val="24"/>
          <w:szCs w:val="24"/>
        </w:rPr>
        <w:br w:type="page"/>
      </w:r>
    </w:p>
    <w:p w14:paraId="0E60ED2F" w14:textId="5B7337DD" w:rsidR="007108D6" w:rsidRPr="00B40F0D" w:rsidRDefault="007108D6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Articulo </w:t>
      </w:r>
      <w:proofErr w:type="spellStart"/>
      <w:r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663E4B56" w14:textId="77777777" w:rsidR="005E6D2A" w:rsidRPr="00B40F0D" w:rsidRDefault="005E6D2A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0000002D" w14:textId="3777D7C7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El avisaje estatal será distribuido bajo la regla de los tres tercios entre los medios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privados, estatales y comunitarios.</w:t>
      </w:r>
    </w:p>
    <w:p w14:paraId="0FF655AF" w14:textId="4E338714" w:rsidR="007108D6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="007108D6"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="007108D6"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29D1DD37" w14:textId="77777777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5E3F93CC" w14:textId="77777777" w:rsidR="004E7DA6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Se creará una distribuidora estatal que garantice la circulación de publicaciones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 xml:space="preserve">periódicas impresas. </w:t>
      </w:r>
    </w:p>
    <w:p w14:paraId="0D216E37" w14:textId="77777777" w:rsidR="004E7DA6" w:rsidRPr="00B40F0D" w:rsidRDefault="004E7DA6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0000002E" w14:textId="4815F33E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Se creará una institución estatal que garantice el acceso a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papel para dichas publicaciones.</w:t>
      </w:r>
    </w:p>
    <w:p w14:paraId="68E01F09" w14:textId="149399C1" w:rsidR="006C028E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="006C028E" w:rsidRPr="00B40F0D">
        <w:rPr>
          <w:rFonts w:asciiTheme="minorHAnsi" w:eastAsia="Arial" w:hAnsiTheme="minorHAnsi" w:cs="Arial"/>
          <w:b/>
          <w:sz w:val="24"/>
          <w:szCs w:val="24"/>
        </w:rPr>
        <w:t xml:space="preserve">Articulo </w:t>
      </w:r>
      <w:proofErr w:type="spellStart"/>
      <w:r w:rsidR="006C028E" w:rsidRPr="00B40F0D">
        <w:rPr>
          <w:rFonts w:asciiTheme="minorHAnsi" w:eastAsia="Arial" w:hAnsiTheme="minorHAnsi" w:cs="Arial"/>
          <w:b/>
          <w:sz w:val="24"/>
          <w:szCs w:val="24"/>
        </w:rPr>
        <w:t>xx</w:t>
      </w:r>
      <w:proofErr w:type="spellEnd"/>
    </w:p>
    <w:p w14:paraId="7D7E34BC" w14:textId="77777777" w:rsidR="0095746F" w:rsidRPr="00B40F0D" w:rsidRDefault="0095746F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0000002F" w14:textId="791386BD" w:rsidR="006B1391" w:rsidRPr="00B40F0D" w:rsidRDefault="00795DE2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Los trabajadores de las comunicaciones tendrán derecho a de manera colegiada,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participar en un porcentaje de la propiedad de los medios de comunicación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br/>
      </w:r>
      <w:r w:rsidRPr="00B40F0D">
        <w:rPr>
          <w:rFonts w:asciiTheme="minorHAnsi" w:eastAsia="Arial" w:hAnsiTheme="minorHAnsi" w:cs="Arial"/>
          <w:sz w:val="24"/>
          <w:szCs w:val="24"/>
        </w:rPr>
        <w:t>privados.</w:t>
      </w:r>
    </w:p>
    <w:p w14:paraId="239DC5CB" w14:textId="532099F3" w:rsidR="00EE0DD5" w:rsidRPr="00B40F0D" w:rsidRDefault="00EE0DD5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sz w:val="24"/>
          <w:szCs w:val="24"/>
        </w:rPr>
      </w:pPr>
    </w:p>
    <w:p w14:paraId="4BF79EE7" w14:textId="1B496C3D" w:rsidR="0008066D" w:rsidRPr="00B40F0D" w:rsidRDefault="0008066D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  <w:r w:rsidRPr="00B40F0D">
        <w:rPr>
          <w:rFonts w:asciiTheme="minorHAnsi" w:eastAsia="Arial" w:hAnsiTheme="minorHAnsi" w:cs="Arial"/>
          <w:sz w:val="24"/>
          <w:szCs w:val="24"/>
        </w:rPr>
        <w:t>Tanto los</w:t>
      </w:r>
      <w:r w:rsidRPr="00B40F0D">
        <w:rPr>
          <w:rFonts w:asciiTheme="minorHAnsi" w:eastAsia="Times New Roman" w:hAnsiTheme="minorHAnsi" w:cs="Times New Roman"/>
          <w:sz w:val="24"/>
          <w:szCs w:val="24"/>
        </w:rPr>
        <w:t xml:space="preserve"> t</w:t>
      </w:r>
      <w:r w:rsidRPr="00B40F0D">
        <w:rPr>
          <w:rFonts w:asciiTheme="minorHAnsi" w:eastAsia="Arial" w:hAnsiTheme="minorHAnsi" w:cs="Arial"/>
          <w:sz w:val="24"/>
          <w:szCs w:val="24"/>
        </w:rPr>
        <w:t>rabajadores como los actores sociales vinculados a las comunicaciones (medios comunitarios, Colegio de Periodistas, fundaciones, otros) formarán parte en del directorio de las empresas estatales.</w:t>
      </w:r>
    </w:p>
    <w:p w14:paraId="6ACA2099" w14:textId="1A39B11E" w:rsidR="003C4E64" w:rsidRPr="00B40F0D" w:rsidRDefault="003C4E64" w:rsidP="005F4E8A">
      <w:pPr>
        <w:spacing w:after="0" w:line="360" w:lineRule="auto"/>
        <w:jc w:val="both"/>
        <w:rPr>
          <w:rFonts w:asciiTheme="minorHAnsi" w:eastAsia="Arial" w:hAnsiTheme="minorHAnsi" w:cs="Arial"/>
          <w:sz w:val="24"/>
          <w:szCs w:val="24"/>
        </w:rPr>
      </w:pPr>
    </w:p>
    <w:p w14:paraId="71099260" w14:textId="76407FD0" w:rsidR="00FD00BC" w:rsidRPr="00B40F0D" w:rsidRDefault="00FD00BC" w:rsidP="005F4E8A">
      <w:pPr>
        <w:spacing w:after="0" w:line="360" w:lineRule="auto"/>
        <w:jc w:val="both"/>
        <w:rPr>
          <w:rFonts w:asciiTheme="minorHAnsi" w:eastAsia="Cambria" w:hAnsiTheme="minorHAnsi" w:cs="Cambria"/>
          <w:b/>
          <w:sz w:val="24"/>
          <w:szCs w:val="24"/>
        </w:rPr>
      </w:pPr>
      <w:r w:rsidRPr="00B40F0D">
        <w:rPr>
          <w:rFonts w:asciiTheme="minorHAnsi" w:eastAsia="Cambria" w:hAnsiTheme="minorHAnsi" w:cs="Cambria"/>
          <w:b/>
          <w:sz w:val="24"/>
          <w:szCs w:val="24"/>
        </w:rPr>
        <w:t xml:space="preserve">Disposiciones transitorias </w:t>
      </w:r>
    </w:p>
    <w:p w14:paraId="17416AE8" w14:textId="77777777" w:rsidR="00FD00BC" w:rsidRPr="00B40F0D" w:rsidRDefault="00FD00BC" w:rsidP="005F4E8A">
      <w:pPr>
        <w:spacing w:after="0" w:line="360" w:lineRule="auto"/>
        <w:ind w:left="20" w:right="180"/>
        <w:jc w:val="both"/>
        <w:rPr>
          <w:rFonts w:asciiTheme="minorHAnsi" w:eastAsia="Cambria" w:hAnsiTheme="minorHAnsi" w:cs="Cambria"/>
          <w:b/>
          <w:sz w:val="24"/>
          <w:szCs w:val="24"/>
        </w:rPr>
      </w:pPr>
    </w:p>
    <w:p w14:paraId="0E1710AA" w14:textId="3211CF4E" w:rsidR="009A0962" w:rsidRDefault="00FD00BC" w:rsidP="005F4E8A">
      <w:pPr>
        <w:spacing w:after="0" w:line="360" w:lineRule="auto"/>
        <w:jc w:val="both"/>
        <w:rPr>
          <w:rFonts w:asciiTheme="minorHAnsi" w:eastAsia="Cambria" w:hAnsiTheme="minorHAnsi" w:cs="Cambria"/>
          <w:sz w:val="24"/>
          <w:szCs w:val="24"/>
        </w:rPr>
      </w:pPr>
      <w:r w:rsidRPr="00B40F0D">
        <w:rPr>
          <w:rFonts w:asciiTheme="minorHAnsi" w:eastAsia="Cambria" w:hAnsiTheme="minorHAnsi" w:cs="Cambria"/>
          <w:b/>
          <w:sz w:val="24"/>
          <w:szCs w:val="24"/>
        </w:rPr>
        <w:t xml:space="preserve">Artículo transitorio número a determinar. </w:t>
      </w:r>
      <w:r w:rsidR="00C64230" w:rsidRPr="00B40F0D">
        <w:rPr>
          <w:rFonts w:asciiTheme="minorHAnsi" w:eastAsia="Cambria" w:hAnsiTheme="minorHAnsi" w:cs="Cambria"/>
          <w:sz w:val="24"/>
          <w:szCs w:val="24"/>
        </w:rPr>
        <w:t>Derogasen</w:t>
      </w:r>
      <w:r w:rsidRPr="00B40F0D">
        <w:rPr>
          <w:rFonts w:asciiTheme="minorHAnsi" w:eastAsia="Cambria" w:hAnsiTheme="minorHAnsi" w:cs="Cambria"/>
          <w:sz w:val="24"/>
          <w:szCs w:val="24"/>
        </w:rPr>
        <w:t xml:space="preserve"> todas las disposiciones de la Ley General de Telecomunicaciones, </w:t>
      </w:r>
      <w:proofErr w:type="spellStart"/>
      <w:r w:rsidRPr="00B40F0D">
        <w:rPr>
          <w:rFonts w:asciiTheme="minorHAnsi" w:eastAsia="Cambria" w:hAnsiTheme="minorHAnsi" w:cs="Cambria"/>
          <w:sz w:val="24"/>
          <w:szCs w:val="24"/>
        </w:rPr>
        <w:t>N°</w:t>
      </w:r>
      <w:proofErr w:type="spellEnd"/>
      <w:r w:rsidRPr="00B40F0D">
        <w:rPr>
          <w:rFonts w:asciiTheme="minorHAnsi" w:eastAsia="Cambria" w:hAnsiTheme="minorHAnsi" w:cs="Cambria"/>
          <w:sz w:val="24"/>
          <w:szCs w:val="24"/>
        </w:rPr>
        <w:t xml:space="preserve"> 18.168, que estuvieran en contradicción con las disposiciones de la Nueva Constitución.</w:t>
      </w:r>
    </w:p>
    <w:p w14:paraId="704AA592" w14:textId="77777777" w:rsidR="009A0962" w:rsidRDefault="009A0962">
      <w:pPr>
        <w:rPr>
          <w:rFonts w:asciiTheme="minorHAnsi" w:eastAsia="Cambria" w:hAnsiTheme="minorHAnsi" w:cs="Cambria"/>
          <w:sz w:val="24"/>
          <w:szCs w:val="24"/>
        </w:rPr>
      </w:pPr>
      <w:r>
        <w:rPr>
          <w:rFonts w:asciiTheme="minorHAnsi" w:eastAsia="Cambria" w:hAnsiTheme="minorHAnsi" w:cs="Cambria"/>
          <w:sz w:val="24"/>
          <w:szCs w:val="24"/>
        </w:rPr>
        <w:br w:type="page"/>
      </w:r>
    </w:p>
    <w:p w14:paraId="7ABEC1C1" w14:textId="77777777" w:rsidR="009A0962" w:rsidRDefault="009A0962" w:rsidP="009A0962">
      <w:pPr>
        <w:spacing w:line="24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lastRenderedPageBreak/>
        <w:drawing>
          <wp:inline distT="0" distB="0" distL="0" distR="0" wp14:anchorId="19F623F8" wp14:editId="12CEA13C">
            <wp:extent cx="1793875" cy="1717675"/>
            <wp:effectExtent l="0" t="0" r="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5" t="23840" r="20146" b="3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02BA" w14:textId="77777777" w:rsidR="009A0962" w:rsidRDefault="009A0962" w:rsidP="009A0962">
      <w:pPr>
        <w:spacing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 Ivanna Olivares</w:t>
      </w:r>
    </w:p>
    <w:p w14:paraId="64A1458D" w14:textId="77777777" w:rsidR="009A0962" w:rsidRDefault="009A0962" w:rsidP="009A0962">
      <w:pPr>
        <w:spacing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17.486.167-6</w:t>
      </w:r>
    </w:p>
    <w:p w14:paraId="567DC595" w14:textId="2ED20520" w:rsidR="00FD00BC" w:rsidRDefault="00FD00BC" w:rsidP="005F4E8A">
      <w:pPr>
        <w:spacing w:after="0" w:line="360" w:lineRule="auto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1A38006F" w14:textId="77777777" w:rsidR="00A411B4" w:rsidRPr="00EC3508" w:rsidRDefault="00A411B4" w:rsidP="00A411B4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50A32F" wp14:editId="6C9125BA">
            <wp:extent cx="1682244" cy="908050"/>
            <wp:effectExtent l="0" t="0" r="0" b="635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87" cy="91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696E" w14:textId="60747E5F" w:rsidR="00A411B4" w:rsidRPr="00EC3508" w:rsidRDefault="00A411B4" w:rsidP="00A411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C3508">
        <w:rPr>
          <w:sz w:val="24"/>
          <w:szCs w:val="24"/>
        </w:rPr>
        <w:t>Manuela Royo</w:t>
      </w:r>
    </w:p>
    <w:p w14:paraId="405A8943" w14:textId="7020E052" w:rsidR="00A411B4" w:rsidRDefault="00A411B4" w:rsidP="00A411B4">
      <w:pPr>
        <w:spacing w:line="240" w:lineRule="auto"/>
        <w:rPr>
          <w:sz w:val="24"/>
          <w:szCs w:val="24"/>
        </w:rPr>
      </w:pPr>
      <w:r w:rsidRPr="00EC3508">
        <w:rPr>
          <w:sz w:val="24"/>
          <w:szCs w:val="24"/>
        </w:rPr>
        <w:t>15.383.358-3</w:t>
      </w:r>
    </w:p>
    <w:p w14:paraId="384A9384" w14:textId="2009EDD2" w:rsidR="00A411B4" w:rsidRDefault="00A411B4" w:rsidP="00A411B4">
      <w:pPr>
        <w:spacing w:line="240" w:lineRule="auto"/>
        <w:rPr>
          <w:sz w:val="24"/>
          <w:szCs w:val="24"/>
        </w:rPr>
      </w:pPr>
    </w:p>
    <w:p w14:paraId="37F553FA" w14:textId="77777777" w:rsidR="00A411B4" w:rsidRDefault="00A411B4" w:rsidP="00A411B4">
      <w:pPr>
        <w:spacing w:line="240" w:lineRule="auto"/>
        <w:rPr>
          <w:sz w:val="24"/>
          <w:szCs w:val="24"/>
        </w:rPr>
      </w:pPr>
    </w:p>
    <w:p w14:paraId="4A1B73D8" w14:textId="77777777" w:rsidR="00A411B4" w:rsidRPr="0080594B" w:rsidRDefault="00A411B4" w:rsidP="005F4E8A">
      <w:pPr>
        <w:spacing w:after="0" w:line="360" w:lineRule="auto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7A5AE8E2" w14:textId="7FD4FEA0" w:rsidR="003C4E64" w:rsidRPr="0080594B" w:rsidRDefault="003C4E64" w:rsidP="005F4E8A">
      <w:pPr>
        <w:spacing w:after="0" w:line="360" w:lineRule="auto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</w:p>
    <w:sectPr w:rsidR="003C4E64" w:rsidRPr="0080594B"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61E6" w14:textId="77777777" w:rsidR="003E5C34" w:rsidRDefault="003E5C34">
      <w:pPr>
        <w:spacing w:after="0" w:line="240" w:lineRule="auto"/>
      </w:pPr>
      <w:r>
        <w:separator/>
      </w:r>
    </w:p>
  </w:endnote>
  <w:endnote w:type="continuationSeparator" w:id="0">
    <w:p w14:paraId="6014F0F5" w14:textId="77777777" w:rsidR="003E5C34" w:rsidRDefault="003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4784BC95" w:rsidR="006B1391" w:rsidRDefault="00795D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13B9">
      <w:rPr>
        <w:noProof/>
        <w:color w:val="000000"/>
      </w:rPr>
      <w:t>1</w:t>
    </w:r>
    <w:r>
      <w:rPr>
        <w:color w:val="000000"/>
      </w:rPr>
      <w:fldChar w:fldCharType="end"/>
    </w:r>
  </w:p>
  <w:p w14:paraId="0000003C" w14:textId="77777777" w:rsidR="006B1391" w:rsidRDefault="006B13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BD13" w14:textId="77777777" w:rsidR="003E5C34" w:rsidRDefault="003E5C34">
      <w:pPr>
        <w:spacing w:after="0" w:line="240" w:lineRule="auto"/>
      </w:pPr>
      <w:r>
        <w:separator/>
      </w:r>
    </w:p>
  </w:footnote>
  <w:footnote w:type="continuationSeparator" w:id="0">
    <w:p w14:paraId="04D2AFDF" w14:textId="77777777" w:rsidR="003E5C34" w:rsidRDefault="003E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65D5"/>
    <w:multiLevelType w:val="multilevel"/>
    <w:tmpl w:val="C8E2324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91"/>
    <w:rsid w:val="000202A9"/>
    <w:rsid w:val="00033C4A"/>
    <w:rsid w:val="00051E64"/>
    <w:rsid w:val="0008066D"/>
    <w:rsid w:val="000E68DA"/>
    <w:rsid w:val="00122A2F"/>
    <w:rsid w:val="00137966"/>
    <w:rsid w:val="001F0FAB"/>
    <w:rsid w:val="002416D7"/>
    <w:rsid w:val="00252BCD"/>
    <w:rsid w:val="00314967"/>
    <w:rsid w:val="003A57E3"/>
    <w:rsid w:val="003B6067"/>
    <w:rsid w:val="003C4E64"/>
    <w:rsid w:val="003E5C34"/>
    <w:rsid w:val="00450BB9"/>
    <w:rsid w:val="004917AD"/>
    <w:rsid w:val="004E7DA6"/>
    <w:rsid w:val="00597DF6"/>
    <w:rsid w:val="005B2688"/>
    <w:rsid w:val="005E6D2A"/>
    <w:rsid w:val="005F4E8A"/>
    <w:rsid w:val="006501BF"/>
    <w:rsid w:val="006750FC"/>
    <w:rsid w:val="00685E9C"/>
    <w:rsid w:val="006B1391"/>
    <w:rsid w:val="006C028E"/>
    <w:rsid w:val="007108D6"/>
    <w:rsid w:val="0072353D"/>
    <w:rsid w:val="007824F7"/>
    <w:rsid w:val="00795DE2"/>
    <w:rsid w:val="007B759A"/>
    <w:rsid w:val="007D0780"/>
    <w:rsid w:val="0080594B"/>
    <w:rsid w:val="008713B9"/>
    <w:rsid w:val="00874C1C"/>
    <w:rsid w:val="0087654A"/>
    <w:rsid w:val="008A4A29"/>
    <w:rsid w:val="009403E0"/>
    <w:rsid w:val="0095746F"/>
    <w:rsid w:val="00963410"/>
    <w:rsid w:val="00973619"/>
    <w:rsid w:val="009973C8"/>
    <w:rsid w:val="009A0962"/>
    <w:rsid w:val="009A163A"/>
    <w:rsid w:val="009B0439"/>
    <w:rsid w:val="00A411B4"/>
    <w:rsid w:val="00B40F0D"/>
    <w:rsid w:val="00B53D51"/>
    <w:rsid w:val="00B73C9C"/>
    <w:rsid w:val="00B93D7E"/>
    <w:rsid w:val="00C64230"/>
    <w:rsid w:val="00C71242"/>
    <w:rsid w:val="00CC164E"/>
    <w:rsid w:val="00D20F08"/>
    <w:rsid w:val="00E81417"/>
    <w:rsid w:val="00EE0DD5"/>
    <w:rsid w:val="00EF2B33"/>
    <w:rsid w:val="00F07896"/>
    <w:rsid w:val="00F16B00"/>
    <w:rsid w:val="00F51D30"/>
    <w:rsid w:val="00FD00BC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943E"/>
  <w15:docId w15:val="{1644B6D7-36B0-4335-9C03-B4C395A7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9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3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8066D"/>
    <w:pPr>
      <w:ind w:left="720"/>
      <w:contextualSpacing/>
    </w:pPr>
  </w:style>
  <w:style w:type="paragraph" w:styleId="Revisin">
    <w:name w:val="Revision"/>
    <w:hidden/>
    <w:uiPriority w:val="99"/>
    <w:semiHidden/>
    <w:rsid w:val="00122A2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C16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6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6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16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164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C4E6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1443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claudia vera (marcela.vera)</cp:lastModifiedBy>
  <cp:revision>8</cp:revision>
  <dcterms:created xsi:type="dcterms:W3CDTF">2022-01-16T13:49:00Z</dcterms:created>
  <dcterms:modified xsi:type="dcterms:W3CDTF">2022-01-16T15:32:00Z</dcterms:modified>
</cp:coreProperties>
</file>